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24E" w:rsidRPr="006F5441" w:rsidRDefault="006F5441" w:rsidP="00DF3065">
      <w:pPr>
        <w:outlineLvl w:val="0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  <w:lang w:val="en-US"/>
        </w:rPr>
        <w:t>V</w:t>
      </w:r>
      <w:r w:rsidRPr="006F5441">
        <w:rPr>
          <w:rFonts w:ascii="Garamond" w:hAnsi="Garamond" w:cs="Arial"/>
          <w:b/>
          <w:sz w:val="28"/>
          <w:szCs w:val="28"/>
        </w:rPr>
        <w:t xml:space="preserve">.4. </w:t>
      </w:r>
      <w:r w:rsidR="006E724E" w:rsidRPr="006F5441">
        <w:rPr>
          <w:rFonts w:ascii="Garamond" w:hAnsi="Garamond" w:cs="Arial"/>
          <w:b/>
          <w:sz w:val="28"/>
          <w:szCs w:val="28"/>
        </w:rPr>
        <w:t xml:space="preserve">Изменения, связанные с </w:t>
      </w:r>
      <w:bookmarkStart w:id="0" w:name="_Toc247527206"/>
      <w:r w:rsidR="006E724E" w:rsidRPr="006F5441">
        <w:rPr>
          <w:rFonts w:ascii="Garamond" w:hAnsi="Garamond" w:cs="Arial"/>
          <w:b/>
          <w:sz w:val="28"/>
          <w:szCs w:val="28"/>
        </w:rPr>
        <w:t>публикацией на официальном сайте Коммерческого оператора (КО) в сети интернет персонифицированных результатов участия конкурентного отбора БР</w:t>
      </w:r>
      <w:bookmarkEnd w:id="0"/>
    </w:p>
    <w:p w:rsidR="006E724E" w:rsidRPr="00B97C81" w:rsidRDefault="006E724E" w:rsidP="00AB3F8C">
      <w:pPr>
        <w:jc w:val="both"/>
        <w:outlineLvl w:val="0"/>
        <w:rPr>
          <w:rFonts w:ascii="Garamond" w:hAnsi="Garamond"/>
          <w:b/>
        </w:rPr>
      </w:pPr>
    </w:p>
    <w:p w:rsidR="006E724E" w:rsidRPr="00B97C81" w:rsidRDefault="006E724E" w:rsidP="00AB3F8C">
      <w:pPr>
        <w:widowControl w:val="0"/>
        <w:ind w:left="11328" w:firstLine="708"/>
        <w:jc w:val="both"/>
        <w:rPr>
          <w:rFonts w:ascii="Garamond" w:hAnsi="Garamond" w:cs="Arial"/>
          <w:b/>
          <w:sz w:val="28"/>
          <w:szCs w:val="28"/>
        </w:rPr>
      </w:pPr>
      <w:r w:rsidRPr="00B97C81">
        <w:rPr>
          <w:rFonts w:ascii="Garamond" w:hAnsi="Garamond" w:cs="Arial"/>
          <w:b/>
          <w:sz w:val="28"/>
          <w:szCs w:val="28"/>
        </w:rPr>
        <w:t>Приложение №</w:t>
      </w:r>
      <w:r w:rsidR="006F5441">
        <w:rPr>
          <w:rFonts w:ascii="Garamond" w:hAnsi="Garamond" w:cs="Arial"/>
          <w:b/>
          <w:sz w:val="28"/>
          <w:szCs w:val="28"/>
        </w:rPr>
        <w:t xml:space="preserve"> 5.4</w:t>
      </w:r>
    </w:p>
    <w:p w:rsidR="006E724E" w:rsidRPr="00B97C81" w:rsidRDefault="006E724E" w:rsidP="00AB3F8C">
      <w:pPr>
        <w:widowControl w:val="0"/>
        <w:ind w:left="11328" w:firstLine="708"/>
        <w:jc w:val="both"/>
        <w:rPr>
          <w:rFonts w:ascii="Garamond" w:hAnsi="Garamond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88"/>
      </w:tblGrid>
      <w:tr w:rsidR="006E724E" w:rsidRPr="00B97C81" w:rsidTr="008E5679">
        <w:trPr>
          <w:trHeight w:val="928"/>
        </w:trPr>
        <w:tc>
          <w:tcPr>
            <w:tcW w:w="14688" w:type="dxa"/>
          </w:tcPr>
          <w:p w:rsidR="006E724E" w:rsidRPr="00DF3065" w:rsidRDefault="006E724E" w:rsidP="008E5679">
            <w:pPr>
              <w:widowControl w:val="0"/>
              <w:tabs>
                <w:tab w:val="left" w:pos="0"/>
                <w:tab w:val="left" w:pos="3420"/>
              </w:tabs>
              <w:spacing w:before="120"/>
              <w:jc w:val="both"/>
              <w:rPr>
                <w:rFonts w:ascii="Garamond" w:hAnsi="Garamond" w:cs="Arial"/>
              </w:rPr>
            </w:pPr>
            <w:r w:rsidRPr="00DF3065">
              <w:rPr>
                <w:rFonts w:ascii="Garamond" w:hAnsi="Garamond" w:cs="Arial"/>
                <w:b/>
              </w:rPr>
              <w:t xml:space="preserve">Инициатор: </w:t>
            </w:r>
            <w:r w:rsidRPr="00DF3065">
              <w:rPr>
                <w:rFonts w:ascii="Garamond" w:hAnsi="Garamond" w:cs="Arial"/>
              </w:rPr>
              <w:t>ОАО «Генерирующая компания»</w:t>
            </w:r>
            <w:r w:rsidR="00DF3065">
              <w:rPr>
                <w:rFonts w:ascii="Garamond" w:hAnsi="Garamond" w:cs="Arial"/>
              </w:rPr>
              <w:t>.</w:t>
            </w:r>
          </w:p>
          <w:p w:rsidR="006E724E" w:rsidRPr="00DF3065" w:rsidRDefault="006E724E" w:rsidP="00FD6069">
            <w:pPr>
              <w:jc w:val="both"/>
              <w:rPr>
                <w:rFonts w:ascii="Garamond" w:hAnsi="Garamond" w:cs="Arial"/>
                <w:bCs/>
              </w:rPr>
            </w:pPr>
            <w:proofErr w:type="gramStart"/>
            <w:r w:rsidRPr="00DF3065">
              <w:rPr>
                <w:rFonts w:ascii="Garamond" w:hAnsi="Garamond" w:cs="Arial"/>
                <w:b/>
              </w:rPr>
              <w:t xml:space="preserve">Обоснование: </w:t>
            </w:r>
            <w:r w:rsidRPr="00DF3065">
              <w:rPr>
                <w:rFonts w:ascii="Garamond" w:hAnsi="Garamond" w:cs="Arial"/>
              </w:rPr>
              <w:t>согласно п. 7.1 Регламента проведения конкурентного отбора заявок для балансирования системы (Приложение №</w:t>
            </w:r>
            <w:r w:rsidR="00DF3065">
              <w:rPr>
                <w:rFonts w:ascii="Garamond" w:hAnsi="Garamond" w:cs="Arial"/>
              </w:rPr>
              <w:t> </w:t>
            </w:r>
            <w:r w:rsidRPr="00DF3065">
              <w:rPr>
                <w:rFonts w:ascii="Garamond" w:hAnsi="Garamond" w:cs="Arial"/>
              </w:rPr>
              <w:t>10 к Договору о присоединении к торговой системе оптового  рынка электроэнергии) КО для каждого Участника оптового рынка в отношении каждой зарегистрированной для него ГТП до 18 часов 30 минут времени ценовой зоны 18-го числа месяца, следующего за расчетным, размещает на своем официальном сайте в сети Интернет персонифицированные</w:t>
            </w:r>
            <w:proofErr w:type="gramEnd"/>
            <w:r w:rsidRPr="00DF3065">
              <w:rPr>
                <w:rFonts w:ascii="Garamond" w:hAnsi="Garamond" w:cs="Arial"/>
              </w:rPr>
              <w:t xml:space="preserve"> результаты участия конкурентного отбора БР.</w:t>
            </w:r>
            <w:r w:rsidRPr="00DF3065">
              <w:rPr>
                <w:rFonts w:ascii="Garamond" w:hAnsi="Garamond" w:cs="Arial"/>
                <w:bCs/>
              </w:rPr>
              <w:t xml:space="preserve"> Текущая дата опубликования информации не позволяет своевременно обработать данные с целью разделения объемов и стоимости покупки/ продажи энергии собственного производства и покупной энергии в целях отражения в бухгалтерском учете, что приводит к возникновению налоговых рисков. </w:t>
            </w:r>
            <w:r w:rsidRPr="00DF3065">
              <w:rPr>
                <w:rFonts w:ascii="Garamond" w:hAnsi="Garamond" w:cs="Arial"/>
              </w:rPr>
              <w:t>Предлагаем перенести срок опубликования на официальном сайте КО в сети Интернет указанной информации на более ранний</w:t>
            </w:r>
            <w:r w:rsidR="00376453" w:rsidRPr="00DF3065">
              <w:rPr>
                <w:rFonts w:ascii="Garamond" w:hAnsi="Garamond" w:cs="Arial"/>
              </w:rPr>
              <w:t xml:space="preserve"> (не позднее 18.30 17</w:t>
            </w:r>
            <w:r w:rsidRPr="00DF3065">
              <w:rPr>
                <w:rFonts w:ascii="Garamond" w:hAnsi="Garamond" w:cs="Arial"/>
              </w:rPr>
              <w:t xml:space="preserve"> числа месяца, следующего за </w:t>
            </w:r>
            <w:proofErr w:type="gramStart"/>
            <w:r w:rsidRPr="00DF3065">
              <w:rPr>
                <w:rFonts w:ascii="Garamond" w:hAnsi="Garamond" w:cs="Arial"/>
              </w:rPr>
              <w:t>расчетным</w:t>
            </w:r>
            <w:proofErr w:type="gramEnd"/>
            <w:r w:rsidRPr="00DF3065">
              <w:rPr>
                <w:rFonts w:ascii="Garamond" w:hAnsi="Garamond" w:cs="Arial"/>
              </w:rPr>
              <w:t>).</w:t>
            </w:r>
          </w:p>
          <w:p w:rsidR="006E724E" w:rsidRPr="00B97C81" w:rsidRDefault="006E724E" w:rsidP="00376453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 w:cs="Arial"/>
                <w:sz w:val="28"/>
                <w:szCs w:val="28"/>
              </w:rPr>
            </w:pPr>
            <w:r w:rsidRPr="00DF3065">
              <w:rPr>
                <w:rFonts w:ascii="Garamond" w:hAnsi="Garamond" w:cs="Arial"/>
                <w:b/>
              </w:rPr>
              <w:t xml:space="preserve">Дата вступления в силу: </w:t>
            </w:r>
            <w:r w:rsidRPr="00DF3065">
              <w:rPr>
                <w:rFonts w:ascii="Garamond" w:hAnsi="Garamond" w:cs="Arial"/>
              </w:rPr>
              <w:t xml:space="preserve">1 </w:t>
            </w:r>
            <w:r w:rsidR="00376453" w:rsidRPr="00DF3065">
              <w:rPr>
                <w:rFonts w:ascii="Garamond" w:hAnsi="Garamond" w:cs="Arial"/>
              </w:rPr>
              <w:t>ноября</w:t>
            </w:r>
            <w:r w:rsidRPr="00DF3065">
              <w:rPr>
                <w:rFonts w:ascii="Garamond" w:hAnsi="Garamond" w:cs="Arial"/>
              </w:rPr>
              <w:t xml:space="preserve"> 2011года.</w:t>
            </w:r>
          </w:p>
        </w:tc>
      </w:tr>
    </w:tbl>
    <w:p w:rsidR="006E724E" w:rsidRPr="00B97C81" w:rsidRDefault="006E724E" w:rsidP="00555AF6">
      <w:pPr>
        <w:pStyle w:val="2"/>
        <w:keepNext w:val="0"/>
        <w:widowControl w:val="0"/>
        <w:jc w:val="both"/>
        <w:rPr>
          <w:rFonts w:ascii="Garamond" w:hAnsi="Garamond" w:cs="Arial"/>
          <w:sz w:val="28"/>
          <w:szCs w:val="28"/>
        </w:rPr>
      </w:pPr>
      <w:bookmarkStart w:id="1" w:name="_Toc101261834"/>
      <w:bookmarkStart w:id="2" w:name="_Toc101672096"/>
      <w:bookmarkStart w:id="3" w:name="_Toc103055809"/>
      <w:bookmarkStart w:id="4" w:name="_Toc105228112"/>
      <w:bookmarkStart w:id="5" w:name="_Toc107045995"/>
    </w:p>
    <w:p w:rsidR="006E724E" w:rsidRDefault="006E724E" w:rsidP="00DF3065">
      <w:pPr>
        <w:pStyle w:val="2"/>
        <w:keepNext w:val="0"/>
        <w:widowControl w:val="0"/>
        <w:rPr>
          <w:rFonts w:ascii="Garamond" w:hAnsi="Garamond" w:cs="Arial"/>
          <w:sz w:val="26"/>
          <w:szCs w:val="26"/>
        </w:rPr>
      </w:pPr>
      <w:r w:rsidRPr="00DF3065">
        <w:rPr>
          <w:rFonts w:ascii="Garamond" w:hAnsi="Garamond" w:cs="Arial"/>
          <w:sz w:val="26"/>
          <w:szCs w:val="26"/>
        </w:rPr>
        <w:t xml:space="preserve">Предложения по изменениям и дополнениям в </w:t>
      </w:r>
      <w:bookmarkEnd w:id="1"/>
      <w:bookmarkEnd w:id="2"/>
      <w:bookmarkEnd w:id="3"/>
      <w:bookmarkEnd w:id="4"/>
      <w:bookmarkEnd w:id="5"/>
      <w:r w:rsidR="00DF3065" w:rsidRPr="00DF3065">
        <w:rPr>
          <w:rFonts w:ascii="Garamond" w:hAnsi="Garamond" w:cs="Arial"/>
          <w:sz w:val="26"/>
          <w:szCs w:val="26"/>
        </w:rPr>
        <w:t xml:space="preserve">РЕГЛАМЕНТ ПРОВЕДЕНИЯ КОНКУРЕНТНОГО ОТБОРА ЗАЯВОК ДЛЯ БАЛАНСИРОВАНИЯ СИСТЕМЫ </w:t>
      </w:r>
      <w:r w:rsidRPr="00DF3065">
        <w:rPr>
          <w:rFonts w:ascii="Garamond" w:hAnsi="Garamond" w:cs="Arial"/>
          <w:sz w:val="26"/>
          <w:szCs w:val="26"/>
        </w:rPr>
        <w:t>(Приложение №</w:t>
      </w:r>
      <w:r w:rsidR="00DF3065">
        <w:rPr>
          <w:rFonts w:ascii="Garamond" w:hAnsi="Garamond" w:cs="Arial"/>
          <w:sz w:val="26"/>
          <w:szCs w:val="26"/>
        </w:rPr>
        <w:t> </w:t>
      </w:r>
      <w:r w:rsidRPr="00DF3065">
        <w:rPr>
          <w:rFonts w:ascii="Garamond" w:hAnsi="Garamond" w:cs="Arial"/>
          <w:sz w:val="26"/>
          <w:szCs w:val="26"/>
        </w:rPr>
        <w:t>10 к Договору о присоединении к торговой системе оптового  рынка электроэнергии)</w:t>
      </w:r>
    </w:p>
    <w:p w:rsidR="00DF3065" w:rsidRPr="00DF3065" w:rsidRDefault="00DF3065" w:rsidP="00DF3065"/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6660"/>
        <w:gridCol w:w="6660"/>
      </w:tblGrid>
      <w:tr w:rsidR="006E724E" w:rsidRPr="00DF3065" w:rsidTr="008E5679">
        <w:tc>
          <w:tcPr>
            <w:tcW w:w="1440" w:type="dxa"/>
            <w:vAlign w:val="center"/>
          </w:tcPr>
          <w:p w:rsidR="006E724E" w:rsidRPr="00DF3065" w:rsidRDefault="006E724E" w:rsidP="008E5679">
            <w:pPr>
              <w:widowControl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DF3065">
              <w:rPr>
                <w:rFonts w:ascii="Garamond" w:hAnsi="Garamond" w:cs="Arial"/>
                <w:b/>
                <w:sz w:val="22"/>
                <w:szCs w:val="22"/>
              </w:rPr>
              <w:t xml:space="preserve">№ </w:t>
            </w:r>
          </w:p>
          <w:p w:rsidR="006E724E" w:rsidRPr="00DF3065" w:rsidRDefault="006E724E" w:rsidP="008E5679">
            <w:pPr>
              <w:widowControl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DF3065">
              <w:rPr>
                <w:rFonts w:ascii="Garamond" w:hAnsi="Garamond" w:cs="Arial"/>
                <w:b/>
                <w:sz w:val="22"/>
                <w:szCs w:val="22"/>
              </w:rPr>
              <w:t>пункта</w:t>
            </w:r>
          </w:p>
        </w:tc>
        <w:tc>
          <w:tcPr>
            <w:tcW w:w="6660" w:type="dxa"/>
          </w:tcPr>
          <w:p w:rsidR="006E724E" w:rsidRPr="00DF3065" w:rsidRDefault="006E724E" w:rsidP="008E5679">
            <w:pPr>
              <w:widowControl w:val="0"/>
              <w:jc w:val="center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DF3065">
              <w:rPr>
                <w:rFonts w:ascii="Garamond" w:hAnsi="Garamond" w:cs="Arial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6E724E" w:rsidRPr="00DF3065" w:rsidRDefault="006E724E" w:rsidP="008E5679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DF3065">
              <w:rPr>
                <w:rFonts w:ascii="Garamond" w:hAnsi="Garamond" w:cs="Arial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660" w:type="dxa"/>
          </w:tcPr>
          <w:p w:rsidR="006E724E" w:rsidRPr="00DF3065" w:rsidRDefault="006E724E" w:rsidP="008E5679">
            <w:pPr>
              <w:widowControl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DF3065">
              <w:rPr>
                <w:rFonts w:ascii="Garamond" w:hAnsi="Garamond" w:cs="Arial"/>
                <w:b/>
                <w:sz w:val="22"/>
                <w:szCs w:val="22"/>
              </w:rPr>
              <w:t>Предлагаемая редакция</w:t>
            </w:r>
          </w:p>
          <w:p w:rsidR="006E724E" w:rsidRPr="00DF3065" w:rsidRDefault="006E724E" w:rsidP="008E5679">
            <w:pPr>
              <w:widowControl w:val="0"/>
              <w:jc w:val="center"/>
              <w:rPr>
                <w:rFonts w:ascii="Garamond" w:hAnsi="Garamond" w:cs="Arial"/>
                <w:sz w:val="22"/>
                <w:szCs w:val="22"/>
              </w:rPr>
            </w:pPr>
            <w:r w:rsidRPr="00DF3065">
              <w:rPr>
                <w:rFonts w:ascii="Garamond" w:hAnsi="Garamond" w:cs="Arial"/>
                <w:sz w:val="22"/>
                <w:szCs w:val="22"/>
              </w:rPr>
              <w:t>(изменения выделены цветом)</w:t>
            </w:r>
          </w:p>
        </w:tc>
      </w:tr>
      <w:tr w:rsidR="006E724E" w:rsidRPr="00B97C81" w:rsidTr="008E5679">
        <w:trPr>
          <w:trHeight w:val="1501"/>
        </w:trPr>
        <w:tc>
          <w:tcPr>
            <w:tcW w:w="1440" w:type="dxa"/>
          </w:tcPr>
          <w:p w:rsidR="006E724E" w:rsidRPr="00DF3065" w:rsidRDefault="006E724E" w:rsidP="00FD6069">
            <w:pPr>
              <w:widowControl w:val="0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DF3065">
              <w:rPr>
                <w:rFonts w:ascii="Garamond" w:hAnsi="Garamond" w:cs="Arial"/>
                <w:b/>
                <w:sz w:val="22"/>
                <w:szCs w:val="22"/>
              </w:rPr>
              <w:t>7.1</w:t>
            </w:r>
          </w:p>
        </w:tc>
        <w:tc>
          <w:tcPr>
            <w:tcW w:w="6660" w:type="dxa"/>
          </w:tcPr>
          <w:p w:rsidR="006E724E" w:rsidRPr="0081722D" w:rsidRDefault="006E724E" w:rsidP="00DF3065">
            <w:pPr>
              <w:pStyle w:val="subclauseindent"/>
              <w:ind w:left="567"/>
              <w:jc w:val="center"/>
              <w:rPr>
                <w:rFonts w:ascii="Garamond" w:hAnsi="Garamond"/>
              </w:rPr>
            </w:pPr>
            <w:r w:rsidRPr="00B97C81">
              <w:rPr>
                <w:rFonts w:ascii="Garamond" w:hAnsi="Garamond"/>
              </w:rPr>
              <w:t>…</w:t>
            </w:r>
          </w:p>
          <w:p w:rsidR="006E724E" w:rsidRPr="00B97C81" w:rsidRDefault="006E724E" w:rsidP="00CE4EBF">
            <w:pPr>
              <w:pStyle w:val="subclauseindent"/>
              <w:ind w:left="567"/>
              <w:rPr>
                <w:rFonts w:ascii="Garamond" w:hAnsi="Garamond"/>
              </w:rPr>
            </w:pPr>
            <w:r w:rsidRPr="00B97C81">
              <w:rPr>
                <w:rFonts w:ascii="Garamond" w:hAnsi="Garamond"/>
              </w:rPr>
              <w:t xml:space="preserve">Для каждого Участника оптового рынка в отношении каждой зарегистрированной для него ГТП Коммерческий оператор до 18 часов 30 минут по времени ценовой зоны </w:t>
            </w:r>
            <w:r w:rsidRPr="00B97C81">
              <w:rPr>
                <w:rFonts w:ascii="Garamond" w:hAnsi="Garamond"/>
                <w:highlight w:val="yellow"/>
              </w:rPr>
              <w:t>18-го</w:t>
            </w:r>
            <w:r w:rsidRPr="00B97C81">
              <w:rPr>
                <w:rFonts w:ascii="Garamond" w:hAnsi="Garamond"/>
              </w:rPr>
              <w:t xml:space="preserve"> числа месяца, следующего за </w:t>
            </w:r>
            <w:proofErr w:type="gramStart"/>
            <w:r w:rsidRPr="00B97C81">
              <w:rPr>
                <w:rFonts w:ascii="Garamond" w:hAnsi="Garamond"/>
              </w:rPr>
              <w:t>расчетным</w:t>
            </w:r>
            <w:proofErr w:type="gramEnd"/>
            <w:r w:rsidRPr="00B97C81">
              <w:rPr>
                <w:rFonts w:ascii="Garamond" w:hAnsi="Garamond"/>
              </w:rPr>
              <w:t>, публикует на своем официальном сайте персонифицированные результаты, включающие в себя в отношении каждого операционного часа:</w:t>
            </w:r>
          </w:p>
          <w:p w:rsidR="006E724E" w:rsidRPr="00B97C81" w:rsidRDefault="006E724E" w:rsidP="00CE4EBF">
            <w:pPr>
              <w:pStyle w:val="subclauseindent"/>
              <w:numPr>
                <w:ilvl w:val="0"/>
                <w:numId w:val="5"/>
              </w:numPr>
              <w:rPr>
                <w:rFonts w:ascii="Garamond" w:hAnsi="Garamond"/>
              </w:rPr>
            </w:pPr>
            <w:r w:rsidRPr="00B97C81">
              <w:rPr>
                <w:rFonts w:ascii="Garamond" w:hAnsi="Garamond"/>
              </w:rPr>
              <w:t xml:space="preserve">объемы электроэнергии, включенные в диспетчерские объемы, плановые объемы внешних инициатив, внеплановые объемы внешних инициатив, разделенные </w:t>
            </w:r>
            <w:r w:rsidRPr="00B97C81">
              <w:rPr>
                <w:rFonts w:ascii="Garamond" w:hAnsi="Garamond"/>
              </w:rPr>
              <w:lastRenderedPageBreak/>
              <w:t>на обусловленные внеплановыми командами и срабатыванием автоматики, объемы собственных инициатив, величины регулировочных инициатив, использованные для определения финансовых результатов Участника оптового рынка цены на балансирование и другие показатели, от которых зависит результат;</w:t>
            </w:r>
          </w:p>
          <w:p w:rsidR="006E724E" w:rsidRPr="00B97C81" w:rsidRDefault="006E724E" w:rsidP="00CE4EBF">
            <w:pPr>
              <w:pStyle w:val="subclauseindent"/>
              <w:numPr>
                <w:ilvl w:val="0"/>
                <w:numId w:val="5"/>
              </w:numPr>
              <w:rPr>
                <w:rFonts w:ascii="Garamond" w:hAnsi="Garamond"/>
                <w:b/>
              </w:rPr>
            </w:pPr>
            <w:r w:rsidRPr="00B97C81">
              <w:rPr>
                <w:rFonts w:ascii="Garamond" w:hAnsi="Garamond"/>
              </w:rPr>
              <w:t>техническую информацию, относящуюся к ГТП генерации (потребления) Участника оптового рынка для целей проведения анализа результатов, перечень которой может быть изменен по решению Наблюдательного совета НП «Совет рынка» либо уполномоченного федерального органа исполнительной власти;</w:t>
            </w:r>
          </w:p>
          <w:p w:rsidR="006E724E" w:rsidRPr="00B97C81" w:rsidRDefault="006E724E" w:rsidP="00CE4EBF">
            <w:pPr>
              <w:pStyle w:val="subclauseindent"/>
              <w:numPr>
                <w:ilvl w:val="0"/>
                <w:numId w:val="5"/>
              </w:numPr>
              <w:rPr>
                <w:rFonts w:ascii="Garamond" w:hAnsi="Garamond"/>
                <w:b/>
              </w:rPr>
            </w:pPr>
            <w:r w:rsidRPr="00B97C81">
              <w:rPr>
                <w:rFonts w:ascii="Garamond" w:hAnsi="Garamond"/>
              </w:rPr>
              <w:t xml:space="preserve">отчет о величинах и стоимостях отклонений (в том числе, о величине разности суммарных обязательств и суммарных требований за расчетный период в БР и ее доли, причитающейся покупателю), с указанием соответствующих индикаторов, рассчитанных системным оператором, и ставок, которые использовались </w:t>
            </w:r>
            <w:proofErr w:type="gramStart"/>
            <w:r w:rsidRPr="00B97C81">
              <w:rPr>
                <w:rFonts w:ascii="Garamond" w:hAnsi="Garamond"/>
              </w:rPr>
              <w:t>КО</w:t>
            </w:r>
            <w:proofErr w:type="gramEnd"/>
            <w:r w:rsidRPr="00B97C81">
              <w:rPr>
                <w:rFonts w:ascii="Garamond" w:hAnsi="Garamond"/>
              </w:rPr>
              <w:t xml:space="preserve"> для расчета соответствующих стоимостей отклонений.</w:t>
            </w:r>
          </w:p>
          <w:p w:rsidR="006E724E" w:rsidRPr="00B97C81" w:rsidRDefault="006E724E" w:rsidP="00FD6069">
            <w:pPr>
              <w:autoSpaceDE w:val="0"/>
              <w:autoSpaceDN w:val="0"/>
              <w:ind w:left="1276"/>
              <w:jc w:val="both"/>
              <w:rPr>
                <w:rFonts w:ascii="Garamond" w:hAnsi="Garamond" w:cs="Arial"/>
                <w:sz w:val="28"/>
                <w:szCs w:val="28"/>
              </w:rPr>
            </w:pPr>
          </w:p>
        </w:tc>
        <w:tc>
          <w:tcPr>
            <w:tcW w:w="6660" w:type="dxa"/>
          </w:tcPr>
          <w:p w:rsidR="006E724E" w:rsidRPr="00B97C81" w:rsidRDefault="00DF3065" w:rsidP="00DF3065">
            <w:pPr>
              <w:pStyle w:val="subclauseindent"/>
              <w:ind w:left="567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…</w:t>
            </w:r>
          </w:p>
          <w:p w:rsidR="006E724E" w:rsidRPr="00B97C81" w:rsidRDefault="006E724E" w:rsidP="00CE4EBF">
            <w:pPr>
              <w:pStyle w:val="subclauseindent"/>
              <w:ind w:left="567"/>
              <w:rPr>
                <w:rFonts w:ascii="Garamond" w:hAnsi="Garamond"/>
              </w:rPr>
            </w:pPr>
            <w:r w:rsidRPr="00B97C81">
              <w:rPr>
                <w:rFonts w:ascii="Garamond" w:hAnsi="Garamond"/>
              </w:rPr>
              <w:t xml:space="preserve">Для каждого Участника оптового рынка в отношении каждой зарегистрированной для него ГТП Коммерческий оператор до 18 часов 30 минут по времени ценовой зоны </w:t>
            </w:r>
            <w:r w:rsidR="00376453">
              <w:rPr>
                <w:rFonts w:ascii="Garamond" w:hAnsi="Garamond"/>
                <w:highlight w:val="yellow"/>
              </w:rPr>
              <w:t>17</w:t>
            </w:r>
            <w:r w:rsidRPr="00B97C81">
              <w:rPr>
                <w:rFonts w:ascii="Garamond" w:hAnsi="Garamond"/>
                <w:highlight w:val="yellow"/>
              </w:rPr>
              <w:t>-го</w:t>
            </w:r>
            <w:r w:rsidRPr="00B97C81">
              <w:rPr>
                <w:rFonts w:ascii="Garamond" w:hAnsi="Garamond"/>
              </w:rPr>
              <w:t xml:space="preserve"> числа месяца, следующего за </w:t>
            </w:r>
            <w:proofErr w:type="gramStart"/>
            <w:r w:rsidRPr="00B97C81">
              <w:rPr>
                <w:rFonts w:ascii="Garamond" w:hAnsi="Garamond"/>
              </w:rPr>
              <w:t>расчетным</w:t>
            </w:r>
            <w:proofErr w:type="gramEnd"/>
            <w:r w:rsidRPr="00B97C81">
              <w:rPr>
                <w:rFonts w:ascii="Garamond" w:hAnsi="Garamond"/>
              </w:rPr>
              <w:t>, публикует на своем официальном сайте персонифицированные результаты, включающие в себя в отношении каждого операционного часа:</w:t>
            </w:r>
          </w:p>
          <w:p w:rsidR="006E724E" w:rsidRPr="00B97C81" w:rsidRDefault="006E724E" w:rsidP="00CE4EBF">
            <w:pPr>
              <w:pStyle w:val="subclauseindent"/>
              <w:numPr>
                <w:ilvl w:val="0"/>
                <w:numId w:val="5"/>
              </w:numPr>
              <w:rPr>
                <w:rFonts w:ascii="Garamond" w:hAnsi="Garamond"/>
              </w:rPr>
            </w:pPr>
            <w:r w:rsidRPr="00B97C81">
              <w:rPr>
                <w:rFonts w:ascii="Garamond" w:hAnsi="Garamond"/>
              </w:rPr>
              <w:t xml:space="preserve">объемы электроэнергии, включенные в диспетчерские объемы, плановые объемы внешних инициатив, внеплановые объемы внешних инициатив, разделенные </w:t>
            </w:r>
            <w:r w:rsidRPr="00B97C81">
              <w:rPr>
                <w:rFonts w:ascii="Garamond" w:hAnsi="Garamond"/>
              </w:rPr>
              <w:lastRenderedPageBreak/>
              <w:t>на обусловленные внеплановыми командами и срабатыванием автоматики, объемы собственных инициатив, величины регулировочных инициатив, использованные для определения финансовых результатов Участника оптового рынка цены на балансирование и другие показатели, от которых зависит результат;</w:t>
            </w:r>
          </w:p>
          <w:p w:rsidR="006E724E" w:rsidRPr="00B97C81" w:rsidRDefault="006E724E" w:rsidP="00CE4EBF">
            <w:pPr>
              <w:pStyle w:val="subclauseindent"/>
              <w:numPr>
                <w:ilvl w:val="0"/>
                <w:numId w:val="5"/>
              </w:numPr>
              <w:rPr>
                <w:rFonts w:ascii="Garamond" w:hAnsi="Garamond"/>
                <w:b/>
              </w:rPr>
            </w:pPr>
            <w:r w:rsidRPr="00B97C81">
              <w:rPr>
                <w:rFonts w:ascii="Garamond" w:hAnsi="Garamond"/>
              </w:rPr>
              <w:t>техническую информацию, относящуюся к ГТП генерации (потребления) Участника оптового рынка для целей проведения анализа результатов, перечень которой может быть изменен по решению Наблюдательного совета НП «Совет рынка» либо уполномоченного федерального органа исполнительной власти;</w:t>
            </w:r>
          </w:p>
          <w:p w:rsidR="006E724E" w:rsidRPr="00B97C81" w:rsidRDefault="006E724E" w:rsidP="00CE4EBF">
            <w:pPr>
              <w:pStyle w:val="subclauseindent"/>
              <w:numPr>
                <w:ilvl w:val="0"/>
                <w:numId w:val="5"/>
              </w:numPr>
              <w:rPr>
                <w:rFonts w:ascii="Garamond" w:hAnsi="Garamond"/>
                <w:b/>
              </w:rPr>
            </w:pPr>
            <w:r w:rsidRPr="00B97C81">
              <w:rPr>
                <w:rFonts w:ascii="Garamond" w:hAnsi="Garamond"/>
              </w:rPr>
              <w:t xml:space="preserve">отчет о величинах и стоимостях отклонений (в том числе, о величине разности суммарных обязательств и суммарных требований за расчетный период в БР и ее доли, причитающейся покупателю), с указанием соответствующих индикаторов, рассчитанных системным оператором, и ставок, которые использовались </w:t>
            </w:r>
            <w:proofErr w:type="gramStart"/>
            <w:r w:rsidRPr="00B97C81">
              <w:rPr>
                <w:rFonts w:ascii="Garamond" w:hAnsi="Garamond"/>
              </w:rPr>
              <w:t>КО</w:t>
            </w:r>
            <w:proofErr w:type="gramEnd"/>
            <w:r w:rsidRPr="00B97C81">
              <w:rPr>
                <w:rFonts w:ascii="Garamond" w:hAnsi="Garamond"/>
              </w:rPr>
              <w:t xml:space="preserve"> для расчета соответствующих стоимостей отклонений.</w:t>
            </w:r>
          </w:p>
          <w:p w:rsidR="006E724E" w:rsidRPr="00B97C81" w:rsidRDefault="006E724E" w:rsidP="00FD6069">
            <w:pPr>
              <w:autoSpaceDE w:val="0"/>
              <w:autoSpaceDN w:val="0"/>
              <w:ind w:left="1276"/>
              <w:jc w:val="both"/>
              <w:rPr>
                <w:rFonts w:ascii="Garamond" w:hAnsi="Garamond" w:cs="Arial"/>
                <w:sz w:val="28"/>
                <w:szCs w:val="28"/>
              </w:rPr>
            </w:pPr>
          </w:p>
        </w:tc>
      </w:tr>
    </w:tbl>
    <w:p w:rsidR="006E724E" w:rsidRPr="00006B31" w:rsidRDefault="006E724E" w:rsidP="00555AF6">
      <w:pPr>
        <w:widowControl w:val="0"/>
        <w:jc w:val="both"/>
        <w:rPr>
          <w:rFonts w:ascii="Garamond" w:hAnsi="Garamond" w:cs="Arial"/>
          <w:sz w:val="28"/>
          <w:szCs w:val="28"/>
        </w:rPr>
      </w:pPr>
    </w:p>
    <w:sectPr w:rsidR="006E724E" w:rsidRPr="00006B31" w:rsidSect="007105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88F7766"/>
    <w:multiLevelType w:val="hybridMultilevel"/>
    <w:tmpl w:val="BA4ED98C"/>
    <w:lvl w:ilvl="0" w:tplc="FDEE21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DE03F06"/>
    <w:multiLevelType w:val="hybridMultilevel"/>
    <w:tmpl w:val="16984A8E"/>
    <w:lvl w:ilvl="0" w:tplc="25CC5EE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AF6"/>
    <w:rsid w:val="00006B31"/>
    <w:rsid w:val="00055512"/>
    <w:rsid w:val="0009702E"/>
    <w:rsid w:val="000F2D96"/>
    <w:rsid w:val="0017639F"/>
    <w:rsid w:val="001B7955"/>
    <w:rsid w:val="0033645A"/>
    <w:rsid w:val="00376453"/>
    <w:rsid w:val="005501AF"/>
    <w:rsid w:val="00555AF6"/>
    <w:rsid w:val="006A6CA4"/>
    <w:rsid w:val="006B6352"/>
    <w:rsid w:val="006E724E"/>
    <w:rsid w:val="006F5441"/>
    <w:rsid w:val="007105F1"/>
    <w:rsid w:val="00811ADF"/>
    <w:rsid w:val="0081722D"/>
    <w:rsid w:val="00840E9A"/>
    <w:rsid w:val="00885BAB"/>
    <w:rsid w:val="008E03F1"/>
    <w:rsid w:val="008E5679"/>
    <w:rsid w:val="00985C97"/>
    <w:rsid w:val="00A618D6"/>
    <w:rsid w:val="00AB3F8C"/>
    <w:rsid w:val="00B97C81"/>
    <w:rsid w:val="00BB2219"/>
    <w:rsid w:val="00CC1138"/>
    <w:rsid w:val="00CE4EBF"/>
    <w:rsid w:val="00DE0A9A"/>
    <w:rsid w:val="00DF3065"/>
    <w:rsid w:val="00EC3E1E"/>
    <w:rsid w:val="00FD6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F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55AF6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55AF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1">
    <w:name w:val="List Number 2"/>
    <w:basedOn w:val="a"/>
    <w:uiPriority w:val="99"/>
    <w:rsid w:val="00555AF6"/>
    <w:pPr>
      <w:keepNext/>
      <w:keepLines/>
      <w:tabs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subclauseindent">
    <w:name w:val="subclauseindent"/>
    <w:basedOn w:val="a"/>
    <w:uiPriority w:val="99"/>
    <w:rsid w:val="00CE4EBF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a3">
    <w:name w:val="Знак"/>
    <w:basedOn w:val="a"/>
    <w:uiPriority w:val="99"/>
    <w:rsid w:val="00CE4E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3805</Characters>
  <Application>Microsoft Office Word</Application>
  <DocSecurity>0</DocSecurity>
  <Lines>31</Lines>
  <Paragraphs>8</Paragraphs>
  <ScaleCrop>false</ScaleCrop>
  <Company>2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Сенюшин Антон Игоревич</dc:creator>
  <cp:keywords/>
  <dc:description/>
  <cp:lastModifiedBy>abo</cp:lastModifiedBy>
  <cp:revision>3</cp:revision>
  <cp:lastPrinted>2011-08-01T11:04:00Z</cp:lastPrinted>
  <dcterms:created xsi:type="dcterms:W3CDTF">2011-10-25T07:05:00Z</dcterms:created>
  <dcterms:modified xsi:type="dcterms:W3CDTF">2011-10-27T10:05:00Z</dcterms:modified>
</cp:coreProperties>
</file>